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945" w:rsidRDefault="009E3945">
      <w:pPr>
        <w:rPr>
          <w:lang w:val="en-US"/>
        </w:rPr>
      </w:pPr>
    </w:p>
    <w:p w:rsidR="003467CC" w:rsidRDefault="003467CC">
      <w:pPr>
        <w:rPr>
          <w:lang w:val="en-US"/>
        </w:rPr>
      </w:pPr>
    </w:p>
    <w:tbl>
      <w:tblPr>
        <w:tblW w:w="5000" w:type="pct"/>
        <w:tblCellSpacing w:w="37" w:type="dxa"/>
        <w:tblLook w:val="04A0" w:firstRow="1" w:lastRow="0" w:firstColumn="1" w:lastColumn="0" w:noHBand="0" w:noVBand="1"/>
      </w:tblPr>
      <w:tblGrid>
        <w:gridCol w:w="5404"/>
        <w:gridCol w:w="5405"/>
      </w:tblGrid>
      <w:tr w:rsidR="003467CC" w:rsidTr="003467CC">
        <w:trPr>
          <w:tblCellSpacing w:w="37" w:type="dxa"/>
        </w:trPr>
        <w:tc>
          <w:tcPr>
            <w:tcW w:w="2500" w:type="pct"/>
            <w:tcMar>
              <w:top w:w="15" w:type="dxa"/>
              <w:left w:w="15" w:type="dxa"/>
              <w:bottom w:w="15" w:type="dxa"/>
              <w:right w:w="15" w:type="dxa"/>
            </w:tcMar>
            <w:hideMark/>
          </w:tcPr>
          <w:p w:rsidR="003467CC" w:rsidRDefault="003467CC">
            <w:pPr>
              <w:pStyle w:val="xstyle1"/>
            </w:pPr>
            <w:r>
              <w:t>Врз основа на член 11 став 1 од Законот за комунална такса (“Сл.весник на РМ” бр.61/04...64/05...92/07 …123/12 и 154/15) и согласно член 205 од законот за општа управна постапка (“Сл.весник наРМбр. 38/2005) Градоначалникот на Општина ГОСТИВАР , донесе:</w:t>
            </w:r>
          </w:p>
          <w:p w:rsidR="003467CC" w:rsidRDefault="003467CC">
            <w:pPr>
              <w:pStyle w:val="xstyle1"/>
            </w:pPr>
            <w:r>
              <w:t> </w:t>
            </w:r>
          </w:p>
          <w:p w:rsidR="003467CC" w:rsidRDefault="003467CC">
            <w:pPr>
              <w:pStyle w:val="xstyle2"/>
            </w:pPr>
            <w:r>
              <w:t>Р Е Ш Е Н И Е</w:t>
            </w:r>
          </w:p>
          <w:p w:rsidR="003467CC" w:rsidRDefault="003467CC">
            <w:pPr>
              <w:pStyle w:val="xstyle1"/>
            </w:pPr>
            <w:r>
              <w:t> </w:t>
            </w:r>
          </w:p>
          <w:p w:rsidR="003467CC" w:rsidRDefault="003467CC">
            <w:pPr>
              <w:pStyle w:val="xj"/>
            </w:pPr>
            <w:r>
              <w:t xml:space="preserve">На даночниот обврзник </w:t>
            </w:r>
            <w:r>
              <w:rPr>
                <w:b/>
                <w:bCs/>
                <w:lang w:val="en-US"/>
              </w:rPr>
              <w:t xml:space="preserve"> </w:t>
            </w:r>
            <w:r w:rsidR="00067EA1">
              <w:rPr>
                <w:b/>
                <w:bCs/>
                <w:lang w:val="en-US"/>
              </w:rPr>
              <w:t>___________</w:t>
            </w:r>
            <w:r>
              <w:t xml:space="preserve">, со ЕМБГ/ЕДБ </w:t>
            </w:r>
            <w:r>
              <w:rPr>
                <w:b/>
                <w:bCs/>
                <w:lang w:val="en-US"/>
              </w:rPr>
              <w:t xml:space="preserve">0000000000000 </w:t>
            </w:r>
            <w:r>
              <w:t xml:space="preserve">, од </w:t>
            </w:r>
            <w:r>
              <w:rPr>
                <w:b/>
                <w:bCs/>
              </w:rPr>
              <w:t>ГОСТИВАР</w:t>
            </w:r>
            <w:r>
              <w:t xml:space="preserve">, ул. </w:t>
            </w:r>
            <w:r w:rsidR="00067EA1">
              <w:rPr>
                <w:b/>
                <w:bCs/>
                <w:lang w:val="en-US"/>
              </w:rPr>
              <w:t>____</w:t>
            </w:r>
            <w:r>
              <w:t>, бр.</w:t>
            </w:r>
            <w:r w:rsidR="00067EA1">
              <w:rPr>
                <w:lang w:val="en-US"/>
              </w:rPr>
              <w:t>___</w:t>
            </w:r>
            <w:proofErr w:type="gramStart"/>
            <w:r w:rsidR="00067EA1">
              <w:rPr>
                <w:lang w:val="en-US"/>
              </w:rPr>
              <w:t>_</w:t>
            </w:r>
            <w:r>
              <w:rPr>
                <w:b/>
                <w:bCs/>
              </w:rPr>
              <w:t xml:space="preserve"> </w:t>
            </w:r>
            <w:r>
              <w:t>,</w:t>
            </w:r>
            <w:proofErr w:type="gramEnd"/>
            <w:r>
              <w:t xml:space="preserve"> му се утврдува комунална такса за фирма, односно назив  за </w:t>
            </w:r>
            <w:r>
              <w:rPr>
                <w:b/>
                <w:bCs/>
              </w:rPr>
              <w:t xml:space="preserve">2016 </w:t>
            </w:r>
            <w:r>
              <w:t xml:space="preserve">година, со вкупен износ од </w:t>
            </w:r>
            <w:r>
              <w:rPr>
                <w:b/>
                <w:bCs/>
              </w:rPr>
              <w:t xml:space="preserve">3 000.00 </w:t>
            </w:r>
            <w:r>
              <w:t>денари.</w:t>
            </w:r>
          </w:p>
          <w:p w:rsidR="003467CC" w:rsidRDefault="003467CC">
            <w:pPr>
              <w:pStyle w:val="xstyle1"/>
            </w:pPr>
            <w:r>
              <w:t> </w:t>
            </w:r>
          </w:p>
          <w:p w:rsidR="003467CC" w:rsidRDefault="003467CC">
            <w:pPr>
              <w:pStyle w:val="xj"/>
            </w:pPr>
            <w:r>
              <w:t>Комуналната такса за фирма, односно назив се плаќа во рок од   15 дена од денот на доставувањето на Решението, во корист на:</w:t>
            </w:r>
          </w:p>
          <w:p w:rsidR="003467CC" w:rsidRDefault="003467CC">
            <w:pPr>
              <w:pStyle w:val="NormalWeb"/>
              <w:jc w:val="both"/>
            </w:pPr>
            <w:r>
              <w:rPr>
                <w:rStyle w:val="Strong"/>
              </w:rPr>
              <w:t>Примач: Трезорска сметка</w:t>
            </w:r>
            <w:r>
              <w:t> </w:t>
            </w:r>
            <w:r>
              <w:rPr>
                <w:rStyle w:val="Strong"/>
              </w:rPr>
              <w:t>100 0000000630 95</w:t>
            </w:r>
            <w:r>
              <w:t xml:space="preserve"> </w:t>
            </w:r>
            <w:r>
              <w:rPr>
                <w:rStyle w:val="Strong"/>
              </w:rPr>
              <w:t>НБРМ</w:t>
            </w:r>
            <w:r>
              <w:t xml:space="preserve"> </w:t>
            </w:r>
          </w:p>
          <w:p w:rsidR="003467CC" w:rsidRDefault="003467CC">
            <w:pPr>
              <w:pStyle w:val="NormalWeb"/>
              <w:jc w:val="both"/>
            </w:pPr>
            <w:r>
              <w:rPr>
                <w:rStyle w:val="Strong"/>
              </w:rPr>
              <w:t>Уплатна сметка:</w:t>
            </w:r>
            <w:r>
              <w:t xml:space="preserve"> </w:t>
            </w:r>
            <w:r>
              <w:rPr>
                <w:rStyle w:val="Strong"/>
              </w:rPr>
              <w:t>840-116-03210</w:t>
            </w:r>
          </w:p>
          <w:p w:rsidR="003467CC" w:rsidRDefault="003467CC">
            <w:pPr>
              <w:pStyle w:val="NormalWeb"/>
              <w:jc w:val="both"/>
            </w:pPr>
            <w:r>
              <w:rPr>
                <w:rStyle w:val="Strong"/>
              </w:rPr>
              <w:t>Приходна шифра: 717112</w:t>
            </w:r>
          </w:p>
          <w:p w:rsidR="003467CC" w:rsidRDefault="003467CC">
            <w:pPr>
              <w:pStyle w:val="xj"/>
            </w:pPr>
            <w:r>
              <w:t xml:space="preserve">На износот на данокот што нема да се плати во пропишаниот рок се плаќа камата од 0.05% дневно за секој ден задоцнување. </w:t>
            </w:r>
          </w:p>
          <w:p w:rsidR="003467CC" w:rsidRDefault="003467CC">
            <w:pPr>
              <w:pStyle w:val="xstyle1"/>
            </w:pPr>
            <w:r>
              <w:t>Тужбата не ја одлага наплатата на утврдениот данок.</w:t>
            </w:r>
          </w:p>
          <w:p w:rsidR="003467CC" w:rsidRDefault="003467CC">
            <w:pPr>
              <w:pStyle w:val="xstyle1"/>
            </w:pPr>
            <w:r>
              <w:t> </w:t>
            </w:r>
          </w:p>
          <w:p w:rsidR="003467CC" w:rsidRDefault="003467CC">
            <w:pPr>
              <w:pStyle w:val="xstyle4"/>
            </w:pPr>
            <w:r>
              <w:t>О Б Р А З Л О Ж Е Н И Е</w:t>
            </w:r>
          </w:p>
          <w:p w:rsidR="003467CC" w:rsidRDefault="003467CC">
            <w:pPr>
              <w:pStyle w:val="xstyle1"/>
            </w:pPr>
            <w:r>
              <w:t> </w:t>
            </w:r>
          </w:p>
          <w:p w:rsidR="003467CC" w:rsidRDefault="003467CC">
            <w:pPr>
              <w:pStyle w:val="xj"/>
            </w:pPr>
            <w:r>
              <w:t xml:space="preserve">Врз основа на поднесена даночна пријава од даночниот обврзник, односно на податоците содржани во претходно поднесената даночна пријава за утврдување на комунална такса за истакната фирма (назив) согласно тарифен број 1 од тарифата на комунални такси и согласно одликата на Општина Гостивар (“Сл. гласник на Општина Гостивар број на 7/2005) и тоа: </w:t>
            </w:r>
          </w:p>
        </w:tc>
        <w:tc>
          <w:tcPr>
            <w:tcW w:w="0" w:type="auto"/>
            <w:tcMar>
              <w:top w:w="15" w:type="dxa"/>
              <w:left w:w="15" w:type="dxa"/>
              <w:bottom w:w="15" w:type="dxa"/>
              <w:right w:w="15" w:type="dxa"/>
            </w:tcMar>
            <w:hideMark/>
          </w:tcPr>
          <w:p w:rsidR="003467CC" w:rsidRDefault="003467CC">
            <w:pPr>
              <w:pStyle w:val="xstyle1"/>
            </w:pPr>
            <w:r>
              <w:t>Në bazë të nenit 11 paragrafi 1 nga Ligji për taksat komunale("Gazeta Zyrtare e R.M. NR.61/04...64/05...92/07 …123/12 и 154/15) dhe në bazë të nenit 205 nga Ligji për procedur të përgjithshme administrative ("Gazeta Zyrtare e R.M. NR.38/2005) Kryetari Komunës së GOSTIVARIT solli:</w:t>
            </w:r>
          </w:p>
          <w:p w:rsidR="003467CC" w:rsidRDefault="003467CC">
            <w:pPr>
              <w:pStyle w:val="xstyle1"/>
            </w:pPr>
            <w:r>
              <w:t> </w:t>
            </w:r>
          </w:p>
          <w:p w:rsidR="003467CC" w:rsidRDefault="003467CC">
            <w:pPr>
              <w:pStyle w:val="xstyle2"/>
            </w:pPr>
            <w:r>
              <w:rPr>
                <w:rStyle w:val="Strong"/>
                <w:b/>
                <w:bCs/>
              </w:rPr>
              <w:t>A K T V E N D I M</w:t>
            </w:r>
          </w:p>
          <w:p w:rsidR="003467CC" w:rsidRDefault="003467CC">
            <w:pPr>
              <w:pStyle w:val="xstyle3"/>
            </w:pPr>
            <w:r>
              <w:t> </w:t>
            </w:r>
          </w:p>
          <w:p w:rsidR="003467CC" w:rsidRDefault="003467CC">
            <w:pPr>
              <w:pStyle w:val="xj"/>
            </w:pPr>
            <w:r>
              <w:t xml:space="preserve">Oblignesi tatimor </w:t>
            </w:r>
            <w:r w:rsidR="00067EA1">
              <w:rPr>
                <w:lang w:val="en-US"/>
              </w:rPr>
              <w:t>________</w:t>
            </w:r>
            <w:r>
              <w:t>, me NVAQ/NVT</w:t>
            </w:r>
            <w:r>
              <w:rPr>
                <w:lang w:val="en-US"/>
              </w:rPr>
              <w:t xml:space="preserve"> 0000000000000</w:t>
            </w:r>
            <w:r>
              <w:t xml:space="preserve">, Nga </w:t>
            </w:r>
            <w:r>
              <w:rPr>
                <w:b/>
                <w:bCs/>
              </w:rPr>
              <w:t>GOSTIVAR</w:t>
            </w:r>
            <w:r>
              <w:t xml:space="preserve">, rr. </w:t>
            </w:r>
            <w:r w:rsidR="00067EA1">
              <w:rPr>
                <w:lang w:val="en-US"/>
              </w:rPr>
              <w:t>--------</w:t>
            </w:r>
            <w:r>
              <w:t>, nr</w:t>
            </w:r>
            <w:proofErr w:type="gramStart"/>
            <w:r>
              <w:t>.</w:t>
            </w:r>
            <w:r w:rsidR="00067EA1">
              <w:rPr>
                <w:lang w:val="en-US"/>
              </w:rPr>
              <w:t>-------</w:t>
            </w:r>
            <w:proofErr w:type="gramEnd"/>
            <w:r>
              <w:t>, ivertetohet taksa komunale për firmen(emrin) për vitin 2016, në vlerë prej 3 000.00 denar.</w:t>
            </w:r>
          </w:p>
          <w:p w:rsidR="003467CC" w:rsidRDefault="003467CC">
            <w:pPr>
              <w:pStyle w:val="xj"/>
            </w:pPr>
            <w:r>
              <w:t> </w:t>
            </w:r>
          </w:p>
          <w:p w:rsidR="003467CC" w:rsidRDefault="003467CC">
            <w:pPr>
              <w:pStyle w:val="xj"/>
            </w:pPr>
            <w:r>
              <w:t>Taksa komunale për firmën(emrin) paguhet në afat prej 15 ditë nga dita e dorzimit të aktvendimit në favor të pranuesit:</w:t>
            </w:r>
          </w:p>
          <w:p w:rsidR="003467CC" w:rsidRDefault="003467CC">
            <w:pPr>
              <w:pStyle w:val="NormalWeb"/>
              <w:jc w:val="both"/>
            </w:pPr>
            <w:r>
              <w:rPr>
                <w:rStyle w:val="Strong"/>
              </w:rPr>
              <w:t xml:space="preserve">Pranuesi: Llogari trezore 100 000000000630 95 BPRM </w:t>
            </w:r>
          </w:p>
          <w:p w:rsidR="003467CC" w:rsidRDefault="003467CC">
            <w:pPr>
              <w:pStyle w:val="NormalWeb"/>
              <w:jc w:val="both"/>
            </w:pPr>
            <w:r>
              <w:rPr>
                <w:rStyle w:val="Strong"/>
              </w:rPr>
              <w:t>Llogari pagimi: 840-116-03210</w:t>
            </w:r>
          </w:p>
          <w:p w:rsidR="003467CC" w:rsidRDefault="003467CC">
            <w:pPr>
              <w:pStyle w:val="NormalWeb"/>
              <w:jc w:val="both"/>
            </w:pPr>
            <w:r>
              <w:rPr>
                <w:rStyle w:val="Strong"/>
              </w:rPr>
              <w:t xml:space="preserve">Shifra e të hyrave: 717112 </w:t>
            </w:r>
          </w:p>
          <w:p w:rsidR="003467CC" w:rsidRDefault="003467CC">
            <w:pPr>
              <w:pStyle w:val="xj"/>
            </w:pPr>
            <w:r>
              <w:t>Pë shumën e taksës e cila nuk do të paguhet në afatin e paraparë do të paguhet kamat prej 0.05% për çdoditë vonesë.</w:t>
            </w:r>
          </w:p>
          <w:p w:rsidR="003467CC" w:rsidRDefault="003467CC">
            <w:pPr>
              <w:pStyle w:val="xstyle1"/>
            </w:pPr>
            <w:r>
              <w:t xml:space="preserve">Aktpadia nuk e shtyn arkëtimin e tatimit të përcaktuar. </w:t>
            </w:r>
          </w:p>
          <w:p w:rsidR="003467CC" w:rsidRDefault="003467CC">
            <w:pPr>
              <w:pStyle w:val="xstyle1"/>
            </w:pPr>
            <w:r>
              <w:t> </w:t>
            </w:r>
          </w:p>
          <w:p w:rsidR="003467CC" w:rsidRDefault="003467CC">
            <w:pPr>
              <w:pStyle w:val="xstyle4"/>
            </w:pPr>
            <w:r>
              <w:t>A R S Y E T I M</w:t>
            </w:r>
          </w:p>
          <w:p w:rsidR="003467CC" w:rsidRDefault="003467CC">
            <w:pPr>
              <w:pStyle w:val="xstyle3"/>
            </w:pPr>
            <w:r>
              <w:t> </w:t>
            </w:r>
          </w:p>
          <w:p w:rsidR="003467CC" w:rsidRDefault="003467CC">
            <w:pPr>
              <w:pStyle w:val="xj"/>
            </w:pPr>
            <w:r>
              <w:t>Në bazë të të dhënave nga fletëparaqitja dhe të dhënat me të cilat disponon komuna e Gostivarit, obliguesit i vërtetohet taksë komunale për firmë të theksuar (emër) në pajtueshmëri me Numrin e tarifës 1 nga Tarifa për taksa komunale dhe në pajtueshmëri me Vendimin e Këshillit të Komunës së Gostivarit (Bl.zyrtar të komunës së Gostivarit nr. 7/2005) edhe atë:</w:t>
            </w:r>
          </w:p>
        </w:tc>
      </w:tr>
      <w:tr w:rsidR="003467CC" w:rsidTr="003467CC">
        <w:trPr>
          <w:trHeight w:val="255"/>
          <w:tblCellSpacing w:w="37" w:type="dxa"/>
        </w:trPr>
        <w:tc>
          <w:tcPr>
            <w:tcW w:w="0" w:type="auto"/>
            <w:tcMar>
              <w:top w:w="15" w:type="dxa"/>
              <w:left w:w="15" w:type="dxa"/>
              <w:bottom w:w="15" w:type="dxa"/>
              <w:right w:w="15" w:type="dxa"/>
            </w:tcMar>
            <w:vAlign w:val="center"/>
            <w:hideMark/>
          </w:tcPr>
          <w:p w:rsidR="003467CC" w:rsidRDefault="003467CC">
            <w:pPr>
              <w:rPr>
                <w:rFonts w:ascii="Arial" w:eastAsia="Times New Roman" w:hAnsi="Arial" w:cs="Arial"/>
                <w:sz w:val="18"/>
                <w:szCs w:val="18"/>
              </w:rPr>
            </w:pPr>
            <w:r>
              <w:rPr>
                <w:rFonts w:ascii="Arial" w:eastAsia="Times New Roman" w:hAnsi="Arial" w:cs="Arial"/>
                <w:sz w:val="18"/>
                <w:szCs w:val="18"/>
              </w:rPr>
              <w:t> </w:t>
            </w:r>
          </w:p>
        </w:tc>
        <w:tc>
          <w:tcPr>
            <w:tcW w:w="0" w:type="auto"/>
            <w:tcMar>
              <w:top w:w="15" w:type="dxa"/>
              <w:left w:w="15" w:type="dxa"/>
              <w:bottom w:w="15" w:type="dxa"/>
              <w:right w:w="15" w:type="dxa"/>
            </w:tcMar>
            <w:hideMark/>
          </w:tcPr>
          <w:p w:rsidR="003467CC" w:rsidRDefault="003467CC">
            <w:pPr>
              <w:rPr>
                <w:rFonts w:ascii="Arial" w:eastAsia="Times New Roman" w:hAnsi="Arial" w:cs="Arial"/>
                <w:sz w:val="18"/>
                <w:szCs w:val="18"/>
              </w:rPr>
            </w:pPr>
            <w:r>
              <w:rPr>
                <w:rFonts w:ascii="Arial" w:eastAsia="Times New Roman" w:hAnsi="Arial" w:cs="Arial"/>
                <w:sz w:val="18"/>
                <w:szCs w:val="18"/>
              </w:rPr>
              <w:t> </w:t>
            </w:r>
          </w:p>
        </w:tc>
      </w:tr>
    </w:tbl>
    <w:p w:rsidR="003467CC" w:rsidRDefault="003467CC" w:rsidP="003467CC">
      <w:pPr>
        <w:rPr>
          <w:rFonts w:ascii="Arial" w:eastAsia="Times New Roman" w:hAnsi="Arial" w:cs="Arial"/>
          <w:vanish/>
          <w:sz w:val="18"/>
          <w:szCs w:val="18"/>
        </w:rPr>
      </w:pPr>
    </w:p>
    <w:tbl>
      <w:tblPr>
        <w:tblW w:w="0" w:type="auto"/>
        <w:jc w:val="center"/>
        <w:tblCellSpacing w:w="0" w:type="dxa"/>
        <w:tblBorders>
          <w:top w:val="single" w:sz="12" w:space="0" w:color="000000"/>
          <w:left w:val="single" w:sz="12" w:space="0" w:color="000000"/>
          <w:bottom w:val="single" w:sz="12" w:space="0" w:color="000000"/>
          <w:right w:val="single" w:sz="12" w:space="0" w:color="000000"/>
        </w:tblBorders>
        <w:tblCellMar>
          <w:top w:w="30" w:type="dxa"/>
          <w:left w:w="30" w:type="dxa"/>
          <w:bottom w:w="30" w:type="dxa"/>
          <w:right w:w="30" w:type="dxa"/>
        </w:tblCellMar>
        <w:tblLook w:val="04A0" w:firstRow="1" w:lastRow="0" w:firstColumn="1" w:lastColumn="0" w:noHBand="0" w:noVBand="1"/>
      </w:tblPr>
      <w:tblGrid>
        <w:gridCol w:w="6118"/>
        <w:gridCol w:w="741"/>
        <w:gridCol w:w="941"/>
        <w:gridCol w:w="941"/>
      </w:tblGrid>
      <w:tr w:rsidR="003467CC" w:rsidTr="003467CC">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8"/>
                <w:szCs w:val="18"/>
              </w:rPr>
            </w:pPr>
            <w:r>
              <w:rPr>
                <w:rFonts w:ascii="Arial" w:eastAsia="Times New Roman" w:hAnsi="Arial" w:cs="Arial"/>
                <w:b/>
                <w:bCs/>
                <w:sz w:val="18"/>
                <w:szCs w:val="18"/>
              </w:rPr>
              <w:t>Деловни простории во вид на дејност</w:t>
            </w:r>
            <w:r>
              <w:rPr>
                <w:rFonts w:ascii="Arial" w:eastAsia="Times New Roman" w:hAnsi="Arial" w:cs="Arial"/>
                <w:b/>
                <w:bCs/>
                <w:sz w:val="18"/>
                <w:szCs w:val="18"/>
              </w:rPr>
              <w:br/>
              <w:t>Hapësira afariste sipas veprimtarisë</w:t>
            </w:r>
          </w:p>
        </w:tc>
        <w:tc>
          <w:tcPr>
            <w:tcW w:w="555"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pStyle w:val="NormalWeb"/>
              <w:ind w:left="75" w:right="75"/>
              <w:jc w:val="center"/>
              <w:rPr>
                <w:b/>
                <w:bCs/>
              </w:rPr>
            </w:pPr>
            <w:r>
              <w:rPr>
                <w:b/>
                <w:bCs/>
              </w:rPr>
              <w:t>број</w:t>
            </w:r>
          </w:p>
          <w:p w:rsidR="003467CC" w:rsidRDefault="003467CC">
            <w:pPr>
              <w:pStyle w:val="NormalWeb"/>
              <w:ind w:left="75" w:right="75"/>
              <w:jc w:val="center"/>
              <w:rPr>
                <w:b/>
                <w:bCs/>
              </w:rPr>
            </w:pPr>
            <w:r>
              <w:rPr>
                <w:b/>
                <w:bCs/>
              </w:rPr>
              <w:t>numri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8"/>
                <w:szCs w:val="18"/>
              </w:rPr>
            </w:pPr>
            <w:r>
              <w:rPr>
                <w:rFonts w:ascii="Arial" w:eastAsia="Times New Roman" w:hAnsi="Arial" w:cs="Arial"/>
                <w:b/>
                <w:bCs/>
                <w:sz w:val="18"/>
                <w:szCs w:val="18"/>
              </w:rPr>
              <w:t xml:space="preserve">тарифа </w:t>
            </w:r>
            <w:r>
              <w:rPr>
                <w:rFonts w:ascii="Arial" w:eastAsia="Times New Roman" w:hAnsi="Arial" w:cs="Arial"/>
                <w:b/>
                <w:bCs/>
                <w:sz w:val="18"/>
                <w:szCs w:val="18"/>
              </w:rPr>
              <w:br/>
              <w:t>tarifa</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8"/>
                <w:szCs w:val="18"/>
              </w:rPr>
            </w:pPr>
            <w:r>
              <w:rPr>
                <w:rFonts w:ascii="Arial" w:eastAsia="Times New Roman" w:hAnsi="Arial" w:cs="Arial"/>
                <w:b/>
                <w:bCs/>
                <w:sz w:val="18"/>
                <w:szCs w:val="18"/>
              </w:rPr>
              <w:t xml:space="preserve">износ </w:t>
            </w:r>
            <w:r>
              <w:rPr>
                <w:rFonts w:ascii="Arial" w:eastAsia="Times New Roman" w:hAnsi="Arial" w:cs="Arial"/>
                <w:b/>
                <w:bCs/>
                <w:sz w:val="18"/>
                <w:szCs w:val="18"/>
              </w:rPr>
              <w:br/>
              <w:t>vlera</w:t>
            </w:r>
          </w:p>
        </w:tc>
      </w:tr>
      <w:tr w:rsidR="003467CC" w:rsidTr="003467CC">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8"/>
                <w:szCs w:val="18"/>
              </w:rPr>
            </w:pPr>
            <w:r>
              <w:rPr>
                <w:rFonts w:ascii="Arial" w:eastAsia="Times New Roman" w:hAnsi="Arial" w:cs="Arial"/>
                <w:sz w:val="18"/>
                <w:szCs w:val="18"/>
              </w:rPr>
              <w:t>За деловни простории за физички лица кои вршат самостојна дејност</w:t>
            </w:r>
          </w:p>
        </w:tc>
        <w:tc>
          <w:tcPr>
            <w:tcW w:w="555" w:type="dxa"/>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8"/>
                <w:szCs w:val="18"/>
              </w:rPr>
            </w:pPr>
            <w:r>
              <w:rPr>
                <w:rFonts w:ascii="Arial" w:eastAsia="Times New Roman" w:hAnsi="Arial" w:cs="Arial"/>
                <w:sz w:val="18"/>
                <w:szCs w:val="1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8"/>
                <w:szCs w:val="18"/>
              </w:rPr>
            </w:pPr>
            <w:r>
              <w:rPr>
                <w:rFonts w:ascii="Arial" w:eastAsia="Times New Roman" w:hAnsi="Arial" w:cs="Arial"/>
                <w:sz w:val="18"/>
                <w:szCs w:val="18"/>
              </w:rPr>
              <w:t>3 000.00</w:t>
            </w:r>
          </w:p>
        </w:tc>
        <w:tc>
          <w:tcPr>
            <w:tcW w:w="0" w:type="auto"/>
            <w:tcBorders>
              <w:top w:val="single" w:sz="6" w:space="0" w:color="000000"/>
              <w:left w:val="single" w:sz="6" w:space="0" w:color="000000"/>
              <w:bottom w:val="single" w:sz="6" w:space="0" w:color="000000"/>
              <w:right w:val="single" w:sz="6" w:space="0" w:color="000000"/>
            </w:tcBorders>
            <w:noWrap/>
            <w:vAlign w:val="center"/>
            <w:hideMark/>
          </w:tcPr>
          <w:p w:rsidR="003467CC" w:rsidRDefault="003467CC">
            <w:pPr>
              <w:ind w:left="75" w:right="75"/>
              <w:jc w:val="right"/>
              <w:rPr>
                <w:rFonts w:ascii="Arial" w:eastAsia="Times New Roman" w:hAnsi="Arial" w:cs="Arial"/>
                <w:sz w:val="18"/>
                <w:szCs w:val="18"/>
              </w:rPr>
            </w:pPr>
            <w:r>
              <w:rPr>
                <w:rFonts w:ascii="Arial" w:eastAsia="Times New Roman" w:hAnsi="Arial" w:cs="Arial"/>
                <w:sz w:val="18"/>
                <w:szCs w:val="18"/>
              </w:rPr>
              <w:t>3 000.00</w:t>
            </w:r>
          </w:p>
        </w:tc>
      </w:tr>
      <w:tr w:rsidR="003467CC" w:rsidTr="003467CC">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8"/>
                <w:szCs w:val="18"/>
              </w:rPr>
            </w:pPr>
            <w:r>
              <w:rPr>
                <w:rFonts w:ascii="Arial" w:eastAsia="Times New Roman" w:hAnsi="Arial" w:cs="Arial"/>
                <w:sz w:val="18"/>
                <w:szCs w:val="18"/>
              </w:rPr>
              <w:t>За деловни единици, продавници, киосци и друго</w:t>
            </w:r>
          </w:p>
        </w:tc>
        <w:tc>
          <w:tcPr>
            <w:tcW w:w="555" w:type="dxa"/>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8"/>
                <w:szCs w:val="18"/>
              </w:rPr>
            </w:pPr>
            <w:r>
              <w:rPr>
                <w:rFonts w:ascii="Arial" w:eastAsia="Times New Roman" w:hAnsi="Arial" w:cs="Arial"/>
                <w:sz w:val="18"/>
                <w:szCs w:val="18"/>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8"/>
                <w:szCs w:val="18"/>
              </w:rPr>
            </w:pPr>
            <w:r>
              <w:rPr>
                <w:rFonts w:ascii="Arial" w:eastAsia="Times New Roman" w:hAnsi="Arial" w:cs="Arial"/>
                <w:sz w:val="18"/>
                <w:szCs w:val="18"/>
              </w:rPr>
              <w:t>2 000.00</w:t>
            </w:r>
          </w:p>
        </w:tc>
        <w:tc>
          <w:tcPr>
            <w:tcW w:w="0" w:type="auto"/>
            <w:tcBorders>
              <w:top w:val="single" w:sz="6" w:space="0" w:color="000000"/>
              <w:left w:val="single" w:sz="6" w:space="0" w:color="000000"/>
              <w:bottom w:val="single" w:sz="6" w:space="0" w:color="000000"/>
              <w:right w:val="single" w:sz="6" w:space="0" w:color="000000"/>
            </w:tcBorders>
            <w:noWrap/>
            <w:vAlign w:val="center"/>
            <w:hideMark/>
          </w:tcPr>
          <w:p w:rsidR="003467CC" w:rsidRDefault="003467CC">
            <w:pPr>
              <w:ind w:left="75" w:right="75"/>
              <w:jc w:val="right"/>
              <w:rPr>
                <w:rFonts w:ascii="Arial" w:eastAsia="Times New Roman" w:hAnsi="Arial" w:cs="Arial"/>
                <w:sz w:val="18"/>
                <w:szCs w:val="18"/>
              </w:rPr>
            </w:pPr>
            <w:r>
              <w:rPr>
                <w:rFonts w:ascii="Arial" w:eastAsia="Times New Roman" w:hAnsi="Arial" w:cs="Arial"/>
                <w:sz w:val="18"/>
                <w:szCs w:val="18"/>
              </w:rPr>
              <w:t>0</w:t>
            </w:r>
          </w:p>
        </w:tc>
      </w:tr>
      <w:tr w:rsidR="003467CC" w:rsidTr="003467CC">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Default="003467CC">
            <w:pPr>
              <w:pStyle w:val="NormalWeb"/>
              <w:ind w:left="75" w:right="75"/>
            </w:pPr>
            <w:r>
              <w:rPr>
                <w:rStyle w:val="Strong"/>
              </w:rPr>
              <w:t>ВКУПНО:</w:t>
            </w:r>
          </w:p>
          <w:p w:rsidR="003467CC" w:rsidRDefault="003467CC">
            <w:pPr>
              <w:pStyle w:val="NormalWeb"/>
              <w:ind w:left="75" w:right="75"/>
            </w:pPr>
            <w:r>
              <w:rPr>
                <w:rStyle w:val="Strong"/>
              </w:rPr>
              <w:t>GIITHSEJ:</w:t>
            </w:r>
          </w:p>
        </w:tc>
        <w:tc>
          <w:tcPr>
            <w:tcW w:w="0" w:type="auto"/>
            <w:gridSpan w:val="3"/>
            <w:tcBorders>
              <w:top w:val="single" w:sz="6" w:space="0" w:color="000000"/>
              <w:left w:val="single" w:sz="6" w:space="0" w:color="000000"/>
              <w:bottom w:val="single" w:sz="6" w:space="0" w:color="000000"/>
              <w:right w:val="single" w:sz="6" w:space="0" w:color="000000"/>
            </w:tcBorders>
            <w:noWrap/>
            <w:vAlign w:val="center"/>
            <w:hideMark/>
          </w:tcPr>
          <w:p w:rsidR="003467CC" w:rsidRDefault="003467CC">
            <w:pPr>
              <w:ind w:left="75" w:right="75"/>
              <w:jc w:val="right"/>
              <w:rPr>
                <w:rFonts w:ascii="Arial" w:eastAsia="Times New Roman" w:hAnsi="Arial" w:cs="Arial"/>
                <w:sz w:val="18"/>
                <w:szCs w:val="18"/>
              </w:rPr>
            </w:pPr>
            <w:r>
              <w:rPr>
                <w:rFonts w:ascii="Arial" w:eastAsia="Times New Roman" w:hAnsi="Arial" w:cs="Arial"/>
                <w:sz w:val="18"/>
                <w:szCs w:val="18"/>
              </w:rPr>
              <w:t>3 000.00</w:t>
            </w:r>
          </w:p>
        </w:tc>
      </w:tr>
    </w:tbl>
    <w:p w:rsidR="003467CC" w:rsidRDefault="003467CC" w:rsidP="003467CC">
      <w:pPr>
        <w:pStyle w:val="NormalWeb"/>
      </w:pPr>
      <w:r>
        <w:t> </w:t>
      </w:r>
    </w:p>
    <w:tbl>
      <w:tblPr>
        <w:tblW w:w="5000" w:type="pct"/>
        <w:tblCellSpacing w:w="37" w:type="dxa"/>
        <w:tblInd w:w="-195" w:type="dxa"/>
        <w:tblLook w:val="04A0" w:firstRow="1" w:lastRow="0" w:firstColumn="1" w:lastColumn="0" w:noHBand="0" w:noVBand="1"/>
      </w:tblPr>
      <w:tblGrid>
        <w:gridCol w:w="5402"/>
        <w:gridCol w:w="5407"/>
      </w:tblGrid>
      <w:tr w:rsidR="003467CC" w:rsidTr="003467CC">
        <w:trPr>
          <w:tblCellSpacing w:w="37" w:type="dxa"/>
        </w:trPr>
        <w:tc>
          <w:tcPr>
            <w:tcW w:w="2448" w:type="pct"/>
            <w:tcMar>
              <w:top w:w="15" w:type="dxa"/>
              <w:left w:w="15" w:type="dxa"/>
              <w:bottom w:w="15" w:type="dxa"/>
              <w:right w:w="15" w:type="dxa"/>
            </w:tcMar>
            <w:hideMark/>
          </w:tcPr>
          <w:p w:rsidR="003467CC" w:rsidRDefault="003467CC">
            <w:pPr>
              <w:pStyle w:val="xj"/>
            </w:pPr>
            <w:r>
              <w:t xml:space="preserve">Рокот на плаќање на комунална такса е 30 дена од денот на доставување на решението соглано член 11 став 2 од Законот за комунални такси(Сл.весник на Р.М. бр 61/04 и 64/05) каматата за ненавремено платена такса се пресметува согласно член 79 од законот за даноци на имот (Сл.весник на Р.М. бр 61/04 и 64/05) </w:t>
            </w:r>
          </w:p>
          <w:p w:rsidR="003467CC" w:rsidRDefault="003467CC">
            <w:pPr>
              <w:pStyle w:val="xj"/>
            </w:pPr>
            <w:r>
              <w:t>Тужбата не ја одлага наплатата на утврдената такса согласно член 52 став 2 од законот на даноците на имот а во врска со член 16 од законто за комунална такса (Сл.весник на Р.М. бр 61/04...64/05...92/07 …123/12 и 154/15) .</w:t>
            </w:r>
          </w:p>
          <w:p w:rsidR="003467CC" w:rsidRDefault="003467CC">
            <w:pPr>
              <w:pStyle w:val="j"/>
            </w:pPr>
            <w:r>
              <w:rPr>
                <w:b/>
                <w:bCs/>
              </w:rPr>
              <w:t>НАПОМЕНА:</w:t>
            </w:r>
            <w:r>
              <w:t xml:space="preserve"> Заклучно со 2015г. имате долг за комунална такса од </w:t>
            </w:r>
            <w:r>
              <w:rPr>
                <w:b/>
                <w:bCs/>
                <w:lang w:val="en-US"/>
              </w:rPr>
              <w:t xml:space="preserve"> 0</w:t>
            </w:r>
            <w:r>
              <w:t xml:space="preserve"> ден.</w:t>
            </w:r>
          </w:p>
          <w:p w:rsidR="003467CC" w:rsidRDefault="003467CC">
            <w:pPr>
              <w:pStyle w:val="xj"/>
            </w:pPr>
            <w:r>
              <w:rPr>
                <w:b/>
                <w:bCs/>
              </w:rPr>
              <w:t>ПОУКА:</w:t>
            </w:r>
            <w:r>
              <w:t xml:space="preserve"> Против решението на градоначалникот на општината, со тужба, може да се поведе управен спор пред надлежниот Управен суд, во рок од 30 дена од денот на приемот на решението.</w:t>
            </w:r>
          </w:p>
          <w:p w:rsidR="003467CC" w:rsidRDefault="003467CC">
            <w:pPr>
              <w:pStyle w:val="xstyle1"/>
            </w:pPr>
            <w:r>
              <w:t> </w:t>
            </w:r>
          </w:p>
          <w:p w:rsidR="003467CC" w:rsidRPr="003467CC" w:rsidRDefault="003467CC">
            <w:pPr>
              <w:pStyle w:val="xstyle1"/>
              <w:rPr>
                <w:lang w:val="en-US"/>
              </w:rPr>
            </w:pPr>
            <w:r>
              <w:t>Решено во Општина ГОСТИВАР на ден 30/03/2016 година под број 21/16-</w:t>
            </w:r>
            <w:r>
              <w:rPr>
                <w:lang w:val="en-US"/>
              </w:rPr>
              <w:t>198729</w:t>
            </w:r>
          </w:p>
        </w:tc>
        <w:tc>
          <w:tcPr>
            <w:tcW w:w="2449" w:type="pct"/>
            <w:tcMar>
              <w:top w:w="15" w:type="dxa"/>
              <w:left w:w="15" w:type="dxa"/>
              <w:bottom w:w="15" w:type="dxa"/>
              <w:right w:w="15" w:type="dxa"/>
            </w:tcMar>
            <w:hideMark/>
          </w:tcPr>
          <w:p w:rsidR="003467CC" w:rsidRDefault="003467CC">
            <w:pPr>
              <w:pStyle w:val="xj"/>
            </w:pPr>
            <w:r>
              <w:t>Afati i pagesës së taksave komunale është I obliguar në pajtueshmëri me nenin 11 paragrafi 2 nga Ligji për taksat komunale, ndërsa kamata për tatim jo në kohë të paguar do të pë përllogaritet në pajtueshmëri me nenin 79 nga Ligji për tatim në pronë ("Fletorja zyrtare e RM", nr.61/04...64/05...92/07 …123/12 и 154/15) .</w:t>
            </w:r>
          </w:p>
          <w:p w:rsidR="003467CC" w:rsidRDefault="003467CC">
            <w:pPr>
              <w:pStyle w:val="j"/>
            </w:pPr>
            <w:r>
              <w:rPr>
                <w:b/>
                <w:bCs/>
              </w:rPr>
              <w:t>VËREJTJE:</w:t>
            </w:r>
            <w:r>
              <w:t xml:space="preserve"> Përfundimisht me vitin 2015 keni borxh për taksave komunale </w:t>
            </w:r>
            <w:r>
              <w:rPr>
                <w:b/>
                <w:bCs/>
                <w:lang w:val="en-US"/>
              </w:rPr>
              <w:t>0</w:t>
            </w:r>
            <w:r>
              <w:t xml:space="preserve"> den. </w:t>
            </w:r>
          </w:p>
          <w:p w:rsidR="003467CC" w:rsidRDefault="003467CC">
            <w:pPr>
              <w:pStyle w:val="xj"/>
            </w:pPr>
            <w:r>
              <w:t xml:space="preserve">Ankesa nuk e prollongon pagesën e taksës së vërtetuar në pajtueshmëri me nenin 16 nga Ligji pë taksat komunale, e në lidhje me nenin 52 paragrafi 2 nga Ligji për taksa komunale ("Fletorja zyrtare e RM", nr.61/04) </w:t>
            </w:r>
          </w:p>
          <w:p w:rsidR="003467CC" w:rsidRDefault="003467CC">
            <w:pPr>
              <w:pStyle w:val="xj"/>
            </w:pPr>
            <w:r>
              <w:rPr>
                <w:b/>
                <w:bCs/>
              </w:rPr>
              <w:t>KËSHILLË</w:t>
            </w:r>
            <w:r>
              <w:t xml:space="preserve">:Kundër Aktvendimit të kryetarit të komunës, mund të ngritet kontest administrativ me aktpadi para Gjykatës kompetente administrative në afat prej 30 ditëve prej ditës së pranimit të aktvendimit. </w:t>
            </w:r>
          </w:p>
          <w:p w:rsidR="003467CC" w:rsidRDefault="003467CC">
            <w:pPr>
              <w:pStyle w:val="xstyle1"/>
            </w:pPr>
            <w:r>
              <w:t> </w:t>
            </w:r>
          </w:p>
          <w:p w:rsidR="003467CC" w:rsidRPr="003467CC" w:rsidRDefault="003467CC">
            <w:pPr>
              <w:pStyle w:val="xstyle1"/>
              <w:rPr>
                <w:lang w:val="en-US"/>
              </w:rPr>
            </w:pPr>
            <w:r>
              <w:t>Vendimi është marrur në Komunën GOSTIVARIT më datën 30/03/2016 viti me numër. 21/16-</w:t>
            </w:r>
            <w:r>
              <w:rPr>
                <w:lang w:val="en-US"/>
              </w:rPr>
              <w:t>198729</w:t>
            </w:r>
          </w:p>
        </w:tc>
      </w:tr>
      <w:tr w:rsidR="003467CC" w:rsidTr="003467CC">
        <w:trPr>
          <w:tblCellSpacing w:w="37" w:type="dxa"/>
        </w:trPr>
        <w:tc>
          <w:tcPr>
            <w:tcW w:w="2448" w:type="pct"/>
            <w:tcMar>
              <w:top w:w="15" w:type="dxa"/>
              <w:left w:w="15" w:type="dxa"/>
              <w:bottom w:w="15" w:type="dxa"/>
              <w:right w:w="15" w:type="dxa"/>
            </w:tcMar>
            <w:hideMark/>
          </w:tcPr>
          <w:p w:rsidR="003467CC" w:rsidRDefault="003467CC">
            <w:pPr>
              <w:rPr>
                <w:rFonts w:asciiTheme="minorHAnsi" w:hAnsiTheme="minorHAnsi" w:cstheme="minorBidi"/>
              </w:rPr>
            </w:pPr>
          </w:p>
        </w:tc>
        <w:tc>
          <w:tcPr>
            <w:tcW w:w="2449" w:type="pct"/>
            <w:tcMar>
              <w:top w:w="15" w:type="dxa"/>
              <w:left w:w="15" w:type="dxa"/>
              <w:bottom w:w="15" w:type="dxa"/>
              <w:right w:w="15" w:type="dxa"/>
            </w:tcMar>
            <w:hideMark/>
          </w:tcPr>
          <w:p w:rsidR="003467CC" w:rsidRDefault="003467CC">
            <w:pPr>
              <w:jc w:val="right"/>
              <w:rPr>
                <w:rFonts w:ascii="Arial" w:eastAsia="Times New Roman" w:hAnsi="Arial" w:cs="Arial"/>
                <w:sz w:val="18"/>
                <w:szCs w:val="18"/>
                <w:lang w:val="en-US"/>
              </w:rPr>
            </w:pPr>
          </w:p>
          <w:p w:rsidR="003467CC" w:rsidRDefault="003467CC">
            <w:pPr>
              <w:jc w:val="right"/>
              <w:rPr>
                <w:rFonts w:ascii="Arial" w:eastAsia="Times New Roman" w:hAnsi="Arial" w:cs="Arial"/>
                <w:sz w:val="18"/>
                <w:szCs w:val="18"/>
              </w:rPr>
            </w:pPr>
            <w:r>
              <w:rPr>
                <w:rFonts w:ascii="Arial" w:eastAsia="Times New Roman" w:hAnsi="Arial" w:cs="Arial"/>
                <w:sz w:val="18"/>
                <w:szCs w:val="18"/>
              </w:rPr>
              <w:t>1390</w:t>
            </w:r>
          </w:p>
        </w:tc>
        <w:bookmarkStart w:id="0" w:name="_GoBack"/>
        <w:bookmarkEnd w:id="0"/>
      </w:tr>
    </w:tbl>
    <w:p w:rsidR="003467CC" w:rsidRDefault="003467CC" w:rsidP="003467CC">
      <w:pPr>
        <w:rPr>
          <w:rFonts w:ascii="Arial" w:eastAsia="Times New Roman" w:hAnsi="Arial" w:cs="Arial"/>
          <w:vanish/>
          <w:sz w:val="18"/>
          <w:szCs w:val="18"/>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345"/>
        <w:gridCol w:w="5346"/>
      </w:tblGrid>
      <w:tr w:rsidR="003467CC" w:rsidTr="003467CC">
        <w:trPr>
          <w:tblCellSpacing w:w="0" w:type="dxa"/>
        </w:trPr>
        <w:tc>
          <w:tcPr>
            <w:tcW w:w="2500" w:type="pct"/>
            <w:hideMark/>
          </w:tcPr>
          <w:p w:rsidR="003467CC" w:rsidRDefault="003467CC">
            <w:pPr>
              <w:jc w:val="right"/>
              <w:rPr>
                <w:rFonts w:ascii="Arial" w:eastAsia="Times New Roman" w:hAnsi="Arial" w:cs="Arial"/>
                <w:sz w:val="17"/>
                <w:szCs w:val="17"/>
              </w:rPr>
            </w:pPr>
            <w:r>
              <w:rPr>
                <w:rFonts w:ascii="Arial" w:eastAsia="Times New Roman" w:hAnsi="Arial" w:cs="Arial"/>
                <w:sz w:val="17"/>
                <w:szCs w:val="17"/>
              </w:rPr>
              <w:t>Градоначалник,</w:t>
            </w:r>
          </w:p>
        </w:tc>
        <w:tc>
          <w:tcPr>
            <w:tcW w:w="2500" w:type="pct"/>
            <w:hideMark/>
          </w:tcPr>
          <w:p w:rsidR="003467CC" w:rsidRDefault="003467CC">
            <w:pPr>
              <w:rPr>
                <w:rFonts w:ascii="Arial" w:eastAsia="Times New Roman" w:hAnsi="Arial" w:cs="Arial"/>
                <w:sz w:val="17"/>
                <w:szCs w:val="17"/>
              </w:rPr>
            </w:pPr>
            <w:r>
              <w:rPr>
                <w:rFonts w:ascii="Arial" w:eastAsia="Times New Roman" w:hAnsi="Arial" w:cs="Arial"/>
                <w:sz w:val="17"/>
                <w:szCs w:val="17"/>
              </w:rPr>
              <w:t>Kryetari i komunës,</w:t>
            </w:r>
            <w:r>
              <w:rPr>
                <w:rFonts w:ascii="Arial" w:eastAsia="Times New Roman" w:hAnsi="Arial" w:cs="Arial"/>
                <w:sz w:val="17"/>
                <w:szCs w:val="17"/>
              </w:rPr>
              <w:br/>
              <w:t>Nevzat Bejta</w:t>
            </w:r>
          </w:p>
        </w:tc>
      </w:tr>
    </w:tbl>
    <w:p w:rsidR="003467CC" w:rsidRDefault="003467CC" w:rsidP="003467CC">
      <w:pPr>
        <w:rPr>
          <w:rFonts w:ascii="Arial" w:eastAsia="Times New Roman" w:hAnsi="Arial" w:cs="Arial"/>
          <w:vanish/>
          <w:sz w:val="18"/>
          <w:szCs w:val="18"/>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10691"/>
      </w:tblGrid>
      <w:tr w:rsidR="003467CC" w:rsidTr="003467CC">
        <w:trPr>
          <w:tblCellSpacing w:w="0" w:type="dxa"/>
        </w:trPr>
        <w:tc>
          <w:tcPr>
            <w:tcW w:w="5000" w:type="pct"/>
            <w:hideMark/>
          </w:tcPr>
          <w:p w:rsidR="003467CC" w:rsidRDefault="003467CC">
            <w:pPr>
              <w:spacing w:after="240"/>
              <w:jc w:val="center"/>
              <w:rPr>
                <w:rFonts w:ascii="Arial" w:eastAsia="Times New Roman" w:hAnsi="Arial" w:cs="Arial"/>
                <w:sz w:val="17"/>
                <w:szCs w:val="17"/>
              </w:rPr>
            </w:pPr>
            <w:r>
              <w:rPr>
                <w:rFonts w:ascii="Arial" w:eastAsia="Times New Roman" w:hAnsi="Arial" w:cs="Arial"/>
                <w:noProof/>
                <w:sz w:val="17"/>
                <w:szCs w:val="17"/>
                <w:lang w:val="en-US" w:eastAsia="en-US"/>
              </w:rPr>
              <w:lastRenderedPageBreak/>
              <w:drawing>
                <wp:inline distT="0" distB="0" distL="0" distR="0">
                  <wp:extent cx="2552700" cy="1343025"/>
                  <wp:effectExtent l="19050" t="0" r="0" b="0"/>
                  <wp:docPr id="1" name="Picture 1" descr="C:\pot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otpis.jpg"/>
                          <pic:cNvPicPr>
                            <a:picLocks noChangeAspect="1" noChangeArrowheads="1"/>
                          </pic:cNvPicPr>
                        </pic:nvPicPr>
                        <pic:blipFill>
                          <a:blip r:embed="rId5" r:link="rId6" cstate="print"/>
                          <a:srcRect/>
                          <a:stretch>
                            <a:fillRect/>
                          </a:stretch>
                        </pic:blipFill>
                        <pic:spPr bwMode="auto">
                          <a:xfrm>
                            <a:off x="0" y="0"/>
                            <a:ext cx="2552700" cy="1343025"/>
                          </a:xfrm>
                          <a:prstGeom prst="rect">
                            <a:avLst/>
                          </a:prstGeom>
                          <a:noFill/>
                          <a:ln w="9525">
                            <a:noFill/>
                            <a:miter lim="800000"/>
                            <a:headEnd/>
                            <a:tailEnd/>
                          </a:ln>
                        </pic:spPr>
                      </pic:pic>
                    </a:graphicData>
                  </a:graphic>
                </wp:inline>
              </w:drawing>
            </w:r>
            <w:r>
              <w:rPr>
                <w:rFonts w:ascii="Arial" w:eastAsia="Times New Roman" w:hAnsi="Arial" w:cs="Arial"/>
                <w:sz w:val="17"/>
                <w:szCs w:val="17"/>
              </w:rPr>
              <w:br/>
            </w:r>
          </w:p>
        </w:tc>
      </w:tr>
    </w:tbl>
    <w:p w:rsidR="003467CC" w:rsidRDefault="003467CC" w:rsidP="003467CC">
      <w:pPr>
        <w:rPr>
          <w:rFonts w:ascii="Arial" w:eastAsia="Times New Roman" w:hAnsi="Arial" w:cs="Arial"/>
          <w:vanish/>
          <w:sz w:val="18"/>
          <w:szCs w:val="18"/>
        </w:rPr>
      </w:pPr>
    </w:p>
    <w:tbl>
      <w:tblPr>
        <w:tblW w:w="5000" w:type="pct"/>
        <w:jc w:val="center"/>
        <w:tblCellSpacing w:w="0" w:type="dxa"/>
        <w:tblBorders>
          <w:top w:val="single" w:sz="12" w:space="0" w:color="000000"/>
          <w:left w:val="single" w:sz="12" w:space="0" w:color="000000"/>
          <w:bottom w:val="single" w:sz="12" w:space="0" w:color="000000"/>
          <w:right w:val="single" w:sz="12" w:space="0" w:color="000000"/>
        </w:tblBorders>
        <w:tblCellMar>
          <w:top w:w="30" w:type="dxa"/>
          <w:left w:w="30" w:type="dxa"/>
          <w:bottom w:w="30" w:type="dxa"/>
          <w:right w:w="30" w:type="dxa"/>
        </w:tblCellMar>
        <w:tblLook w:val="04A0" w:firstRow="1" w:lastRow="0" w:firstColumn="1" w:lastColumn="0" w:noHBand="0" w:noVBand="1"/>
      </w:tblPr>
      <w:tblGrid>
        <w:gridCol w:w="2122"/>
        <w:gridCol w:w="3294"/>
        <w:gridCol w:w="2277"/>
        <w:gridCol w:w="3028"/>
      </w:tblGrid>
      <w:tr w:rsidR="003467CC" w:rsidTr="003467CC">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5"/>
                <w:szCs w:val="15"/>
              </w:rPr>
            </w:pPr>
            <w:r>
              <w:rPr>
                <w:rFonts w:ascii="Arial" w:eastAsia="Times New Roman" w:hAnsi="Arial" w:cs="Arial"/>
                <w:b/>
                <w:bCs/>
                <w:sz w:val="15"/>
                <w:szCs w:val="15"/>
              </w:rPr>
              <w:t>Решение-Aktvendim</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5"/>
                <w:szCs w:val="15"/>
              </w:rPr>
            </w:pPr>
            <w:r>
              <w:rPr>
                <w:rFonts w:ascii="Arial" w:eastAsia="Times New Roman" w:hAnsi="Arial" w:cs="Arial"/>
                <w:b/>
                <w:bCs/>
                <w:sz w:val="15"/>
                <w:szCs w:val="15"/>
              </w:rPr>
              <w:t xml:space="preserve">Име и презиме-Emri dhe mbiemri </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5"/>
                <w:szCs w:val="15"/>
              </w:rPr>
            </w:pPr>
            <w:r>
              <w:rPr>
                <w:rFonts w:ascii="Arial" w:eastAsia="Times New Roman" w:hAnsi="Arial" w:cs="Arial"/>
                <w:b/>
                <w:bCs/>
                <w:sz w:val="15"/>
                <w:szCs w:val="15"/>
              </w:rPr>
              <w:t>ЕМБГ/ЕДБ-NVAQ/NVT</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467CC" w:rsidRDefault="003467CC">
            <w:pPr>
              <w:ind w:left="75" w:right="75"/>
              <w:jc w:val="center"/>
              <w:rPr>
                <w:rFonts w:ascii="Arial" w:eastAsia="Times New Roman" w:hAnsi="Arial" w:cs="Arial"/>
                <w:b/>
                <w:bCs/>
                <w:sz w:val="15"/>
                <w:szCs w:val="15"/>
              </w:rPr>
            </w:pPr>
            <w:r>
              <w:rPr>
                <w:rFonts w:ascii="Arial" w:eastAsia="Times New Roman" w:hAnsi="Arial" w:cs="Arial"/>
                <w:b/>
                <w:bCs/>
                <w:sz w:val="15"/>
                <w:szCs w:val="15"/>
              </w:rPr>
              <w:t xml:space="preserve">Дата на прием-Data e pranimit </w:t>
            </w:r>
          </w:p>
        </w:tc>
      </w:tr>
      <w:tr w:rsidR="003467CC" w:rsidTr="003467CC">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noWrap/>
            <w:vAlign w:val="center"/>
            <w:hideMark/>
          </w:tcPr>
          <w:p w:rsidR="003467CC" w:rsidRPr="003467CC" w:rsidRDefault="003467CC">
            <w:pPr>
              <w:ind w:left="75" w:right="75"/>
              <w:jc w:val="center"/>
              <w:rPr>
                <w:rFonts w:ascii="Arial" w:eastAsia="Times New Roman" w:hAnsi="Arial" w:cs="Arial"/>
                <w:sz w:val="14"/>
                <w:szCs w:val="14"/>
                <w:lang w:val="en-US"/>
              </w:rPr>
            </w:pPr>
            <w:r>
              <w:rPr>
                <w:rFonts w:ascii="Arial" w:eastAsia="Times New Roman" w:hAnsi="Arial" w:cs="Arial"/>
                <w:sz w:val="14"/>
                <w:szCs w:val="14"/>
              </w:rPr>
              <w:t>21/16-</w:t>
            </w:r>
            <w:r>
              <w:rPr>
                <w:rFonts w:ascii="Arial" w:eastAsia="Times New Roman" w:hAnsi="Arial" w:cs="Arial"/>
                <w:sz w:val="14"/>
                <w:szCs w:val="14"/>
                <w:lang w:val="en-US"/>
              </w:rPr>
              <w:t xml:space="preserve"> 198729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Pr="003467CC" w:rsidRDefault="003467CC">
            <w:pPr>
              <w:ind w:left="75" w:right="75"/>
              <w:rPr>
                <w:rFonts w:ascii="Arial" w:eastAsia="Times New Roman" w:hAnsi="Arial" w:cs="Arial"/>
                <w:sz w:val="14"/>
                <w:szCs w:val="14"/>
                <w:lang w:val="en-US"/>
              </w:rPr>
            </w:pPr>
            <w:r>
              <w:rPr>
                <w:rFonts w:ascii="Arial" w:eastAsia="Times New Roman" w:hAnsi="Arial" w:cs="Arial"/>
                <w:sz w:val="14"/>
                <w:szCs w:val="14"/>
                <w:lang w:val="en-US"/>
              </w:rPr>
              <w:t xml:space="preserve">AAAAA AAAA   </w:t>
            </w:r>
            <w:proofErr w:type="spellStart"/>
            <w:r>
              <w:rPr>
                <w:rFonts w:ascii="Arial" w:eastAsia="Times New Roman" w:hAnsi="Arial" w:cs="Arial"/>
                <w:sz w:val="14"/>
                <w:szCs w:val="14"/>
                <w:lang w:val="en-US"/>
              </w:rPr>
              <w:t>AAAA</w:t>
            </w:r>
            <w:proofErr w:type="spellEnd"/>
            <w:r>
              <w:rPr>
                <w:rFonts w:ascii="Arial" w:eastAsia="Times New Roman" w:hAnsi="Arial" w:cs="Arial"/>
                <w:sz w:val="14"/>
                <w:szCs w:val="14"/>
                <w:lang w:val="en-US"/>
              </w:rPr>
              <w:t xml:space="preserve"> AAAAAAAAA</w:t>
            </w:r>
          </w:p>
        </w:tc>
        <w:tc>
          <w:tcPr>
            <w:tcW w:w="0" w:type="auto"/>
            <w:tcBorders>
              <w:top w:val="single" w:sz="6" w:space="0" w:color="000000"/>
              <w:left w:val="single" w:sz="6" w:space="0" w:color="000000"/>
              <w:bottom w:val="single" w:sz="6" w:space="0" w:color="000000"/>
              <w:right w:val="single" w:sz="6" w:space="0" w:color="000000"/>
            </w:tcBorders>
            <w:noWrap/>
            <w:vAlign w:val="center"/>
            <w:hideMark/>
          </w:tcPr>
          <w:p w:rsidR="003467CC" w:rsidRPr="003467CC" w:rsidRDefault="003467CC">
            <w:pPr>
              <w:ind w:left="75" w:right="75"/>
              <w:jc w:val="center"/>
              <w:rPr>
                <w:rFonts w:ascii="Arial" w:eastAsia="Times New Roman" w:hAnsi="Arial" w:cs="Arial"/>
                <w:sz w:val="14"/>
                <w:szCs w:val="14"/>
                <w:lang w:val="en-US"/>
              </w:rPr>
            </w:pPr>
            <w:r>
              <w:rPr>
                <w:rFonts w:ascii="Arial" w:eastAsia="Times New Roman" w:hAnsi="Arial" w:cs="Arial"/>
                <w:sz w:val="14"/>
                <w:szCs w:val="14"/>
                <w:lang w:val="en-US"/>
              </w:rPr>
              <w:t>0000000000000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67CC" w:rsidRDefault="003467CC">
            <w:pPr>
              <w:ind w:left="75" w:right="75"/>
              <w:rPr>
                <w:rFonts w:ascii="Arial" w:eastAsia="Times New Roman" w:hAnsi="Arial" w:cs="Arial"/>
                <w:sz w:val="14"/>
                <w:szCs w:val="14"/>
              </w:rPr>
            </w:pPr>
            <w:r>
              <w:rPr>
                <w:rFonts w:ascii="Arial" w:eastAsia="Times New Roman" w:hAnsi="Arial" w:cs="Arial"/>
                <w:sz w:val="14"/>
                <w:szCs w:val="14"/>
              </w:rPr>
              <w:t> </w:t>
            </w:r>
          </w:p>
        </w:tc>
      </w:tr>
    </w:tbl>
    <w:p w:rsidR="003467CC" w:rsidRDefault="003467CC" w:rsidP="003467CC">
      <w:pPr>
        <w:pStyle w:val="NormalWeb"/>
      </w:pPr>
      <w:r>
        <w:t> </w:t>
      </w:r>
    </w:p>
    <w:p w:rsidR="003467CC" w:rsidRPr="003467CC" w:rsidRDefault="003467CC">
      <w:pPr>
        <w:rPr>
          <w:lang w:val="en-US"/>
        </w:rPr>
      </w:pPr>
    </w:p>
    <w:sectPr w:rsidR="003467CC" w:rsidRPr="003467CC" w:rsidSect="003467CC">
      <w:pgSz w:w="11906" w:h="16838"/>
      <w:pgMar w:top="1440" w:right="566"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467CC"/>
    <w:rsid w:val="00021DFB"/>
    <w:rsid w:val="00067EA1"/>
    <w:rsid w:val="003467CC"/>
    <w:rsid w:val="009E3945"/>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7CC"/>
    <w:pPr>
      <w:spacing w:after="0" w:line="240" w:lineRule="auto"/>
    </w:pPr>
    <w:rPr>
      <w:rFonts w:ascii="Times New Roman" w:eastAsiaTheme="minorEastAsia" w:hAnsi="Times New Roman" w:cs="Times New Roman"/>
      <w:sz w:val="24"/>
      <w:szCs w:val="24"/>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67CC"/>
    <w:rPr>
      <w:rFonts w:ascii="Arial" w:hAnsi="Arial" w:cs="Arial"/>
      <w:sz w:val="18"/>
      <w:szCs w:val="18"/>
    </w:rPr>
  </w:style>
  <w:style w:type="paragraph" w:customStyle="1" w:styleId="j">
    <w:name w:val="j"/>
    <w:basedOn w:val="Normal"/>
    <w:uiPriority w:val="99"/>
    <w:rsid w:val="003467CC"/>
    <w:pPr>
      <w:ind w:firstLine="567"/>
      <w:jc w:val="both"/>
    </w:pPr>
    <w:rPr>
      <w:rFonts w:ascii="Arial" w:hAnsi="Arial" w:cs="Arial"/>
      <w:sz w:val="18"/>
      <w:szCs w:val="18"/>
    </w:rPr>
  </w:style>
  <w:style w:type="paragraph" w:customStyle="1" w:styleId="xj">
    <w:name w:val="xj"/>
    <w:basedOn w:val="Normal"/>
    <w:uiPriority w:val="99"/>
    <w:rsid w:val="003467CC"/>
    <w:pPr>
      <w:jc w:val="both"/>
    </w:pPr>
    <w:rPr>
      <w:rFonts w:ascii="Arial" w:hAnsi="Arial" w:cs="Arial"/>
      <w:sz w:val="15"/>
      <w:szCs w:val="15"/>
    </w:rPr>
  </w:style>
  <w:style w:type="paragraph" w:customStyle="1" w:styleId="xstyle1">
    <w:name w:val="xstyle1"/>
    <w:basedOn w:val="Normal"/>
    <w:uiPriority w:val="99"/>
    <w:rsid w:val="003467CC"/>
    <w:pPr>
      <w:jc w:val="both"/>
    </w:pPr>
    <w:rPr>
      <w:rFonts w:ascii="Arial" w:hAnsi="Arial" w:cs="Arial"/>
      <w:sz w:val="15"/>
      <w:szCs w:val="15"/>
    </w:rPr>
  </w:style>
  <w:style w:type="paragraph" w:customStyle="1" w:styleId="xstyle2">
    <w:name w:val="xstyle2"/>
    <w:basedOn w:val="Normal"/>
    <w:uiPriority w:val="99"/>
    <w:rsid w:val="003467CC"/>
    <w:pPr>
      <w:jc w:val="center"/>
    </w:pPr>
    <w:rPr>
      <w:rFonts w:ascii="Arial" w:hAnsi="Arial" w:cs="Arial"/>
      <w:b/>
      <w:bCs/>
      <w:sz w:val="15"/>
      <w:szCs w:val="15"/>
    </w:rPr>
  </w:style>
  <w:style w:type="paragraph" w:customStyle="1" w:styleId="xstyle3">
    <w:name w:val="xstyle3"/>
    <w:basedOn w:val="Normal"/>
    <w:uiPriority w:val="99"/>
    <w:rsid w:val="003467CC"/>
    <w:pPr>
      <w:ind w:firstLine="567"/>
      <w:jc w:val="both"/>
    </w:pPr>
    <w:rPr>
      <w:rFonts w:ascii="Arial" w:hAnsi="Arial" w:cs="Arial"/>
      <w:sz w:val="15"/>
      <w:szCs w:val="15"/>
    </w:rPr>
  </w:style>
  <w:style w:type="paragraph" w:customStyle="1" w:styleId="xstyle4">
    <w:name w:val="xstyle4"/>
    <w:basedOn w:val="Normal"/>
    <w:uiPriority w:val="99"/>
    <w:rsid w:val="003467CC"/>
    <w:pPr>
      <w:jc w:val="center"/>
    </w:pPr>
    <w:rPr>
      <w:rFonts w:ascii="Arial" w:hAnsi="Arial" w:cs="Arial"/>
      <w:b/>
      <w:bCs/>
      <w:i/>
      <w:iCs/>
      <w:sz w:val="15"/>
      <w:szCs w:val="15"/>
    </w:rPr>
  </w:style>
  <w:style w:type="character" w:styleId="Strong">
    <w:name w:val="Strong"/>
    <w:basedOn w:val="DefaultParagraphFont"/>
    <w:uiPriority w:val="22"/>
    <w:qFormat/>
    <w:rsid w:val="003467CC"/>
    <w:rPr>
      <w:b/>
      <w:bCs/>
    </w:rPr>
  </w:style>
  <w:style w:type="paragraph" w:styleId="BalloonText">
    <w:name w:val="Balloon Text"/>
    <w:basedOn w:val="Normal"/>
    <w:link w:val="BalloonTextChar"/>
    <w:uiPriority w:val="99"/>
    <w:semiHidden/>
    <w:unhideWhenUsed/>
    <w:rsid w:val="003467CC"/>
    <w:rPr>
      <w:rFonts w:ascii="Tahoma" w:hAnsi="Tahoma" w:cs="Tahoma"/>
      <w:sz w:val="16"/>
      <w:szCs w:val="16"/>
    </w:rPr>
  </w:style>
  <w:style w:type="character" w:customStyle="1" w:styleId="BalloonTextChar">
    <w:name w:val="Balloon Text Char"/>
    <w:basedOn w:val="DefaultParagraphFont"/>
    <w:link w:val="BalloonText"/>
    <w:uiPriority w:val="99"/>
    <w:semiHidden/>
    <w:rsid w:val="003467CC"/>
    <w:rPr>
      <w:rFonts w:ascii="Tahoma" w:eastAsiaTheme="minorEastAsia" w:hAnsi="Tahoma" w:cs="Tahoma"/>
      <w:sz w:val="16"/>
      <w:szCs w:val="16"/>
      <w:lang w:eastAsia="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98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file:///C:\potpis.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719</Words>
  <Characters>4101</Characters>
  <Application>Microsoft Office Word</Application>
  <DocSecurity>0</DocSecurity>
  <Lines>34</Lines>
  <Paragraphs>9</Paragraphs>
  <ScaleCrop>false</ScaleCrop>
  <Company>Microsoft Corporation</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KomunaGV</dc:creator>
  <cp:keywords/>
  <dc:description/>
  <cp:lastModifiedBy>Leila</cp:lastModifiedBy>
  <cp:revision>4</cp:revision>
  <dcterms:created xsi:type="dcterms:W3CDTF">2016-11-21T11:18:00Z</dcterms:created>
  <dcterms:modified xsi:type="dcterms:W3CDTF">2016-11-21T14:23:00Z</dcterms:modified>
</cp:coreProperties>
</file>